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2005 87 vom 25. April 2006</w:t>
      </w:r>
    </w:p>
    <w:p>
      <w:r>
        <w:t>GR Gerichte, 2006-04-25, DE</w:t>
      </w:r>
    </w:p>
    <w:p>
      <w:r>
        <w:rPr>
          <w:b/>
        </w:rPr>
        <w:t xml:space="preserve">Quelle: </w:t>
      </w:r>
      <w:r>
        <w:t>https://mcp.opencaselaw.ch/entscheid/gr_gerichte_A 2005 87</w:t>
      </w:r>
    </w:p>
    <w:p>
      <w:r>
        <w:t>FR: GR_GERICHTE A 2005 87 du 25 avril 2006</w:t>
      </w:r>
    </w:p>
    <w:p>
      <w:r>
        <w:t>IT: GR_GERICHTE A 2005 87 del 25 aprile 2006</w:t>
      </w:r>
    </w:p>
    <w:p>
      <w:pPr>
        <w:pStyle w:val="Heading2"/>
      </w:pPr>
      <w:r>
        <w:t>Regeste</w:t>
      </w:r>
    </w:p>
    <w:p>
      <w:r>
        <w:t>Erstwohnungspflichtersatzabgabe | Ersatzabgabe</w:t>
      </w:r>
    </w:p>
    <w:p>
      <w:pPr>
        <w:pStyle w:val="Heading2"/>
      </w:pPr>
      <w:r>
        <w:t>Erwägungen</w:t>
      </w:r>
    </w:p>
    <w:p>
      <w:r>
        <w:rPr>
          <w:b/>
        </w:rPr>
        <w:t>E. 3</w:t>
      </w:r>
    </w:p>
    <w:p>
      <w:r>
        <w:t>Die Gemeinde … beantragte in ihrer Vernehmlassung die Abweisung des Rekurses. Sie macht geltend, für die Bemessung der Abgabe dürfe schematisch auf durchschnittliche Verhältnisse abgestellt werden. Der Rekurrent könne daher aus dem Umstand, dass er offenbar die Wohnung bei ihrem Erwerb überzahlt habe, nichts zu seinen Gunsten ableiten. Es sei notorisch, dass im Oberengadin Zweitwohnungen in der Regel um ein Viertel bis ein Drittel teurer verkauft werden könnten als Erstwohnungen. Die Höhe der Ersatzabgabe von 20 % des Erwerbspreises sei daher gerechtfertigt. Die Gemeinde habe dem Rekurrenten auch keine falsche Auskunft erteilt, weshalb eine Verrechnung des angeblichen Schadens unzulässig sei.</w:t>
      </w:r>
    </w:p>
    <w:p>
      <w:r>
        <w:rPr>
          <w:b/>
        </w:rPr>
        <w:t>E. 4</w:t>
      </w:r>
    </w:p>
    <w:p>
      <w:r>
        <w:t>Der Rekurrent stellt der Abgabeforderung der Gemeinde einen Schadenersatzanspruch, der ihm wegen einer angeblich falschen Auskunft der Gemeinde entstanden sei, zur Verrechnung gegenüber. Die Kreise, Gemeinden und übrigen selbständigen öffentlich-rechtlichen Körperschaften und Anstalten sind gemäss Art. 9 Abs. 1 des Verantwortlichkeitsgesetzes pflichtig, für den Schaden Ersatz zu leisten, der Dritten durch ihre Behörden und Beamten in Ausübung ihres Dienstes absichtlich oder grobfahrlässig zugefügt wird. Vorliegend steht in keiner Weise fest, dass sich die zuständigen Organe der Gemeinde bei der vom Rekurrenten als falsch bezeichneten Auskunft ein schuldhaftes Verhalten vorwerfen lassen müssen. Die zur Verrechnung gestellte Forderung ist demnach nicht liquid. Es ist auch nicht Sache des Verwaltungsgerichtes, dazu weitere Abklärungen zu treffen. Vielmehr ist es dem Rekurrenten anheim gestellt, seinen Anspruch aus Staatshaftung vor den dafür gemäss Art. 20 Verantwortlichkeitsgesetz zuständigen Zivilgerichten einzuklagen. Der Rekurs ist demnach vollumfänglich abzuweisen.</w:t>
      </w:r>
    </w:p>
    <w:p>
      <w:r>
        <w:rPr>
          <w:b/>
        </w:rPr>
        <w:t>E. 5</w:t>
      </w:r>
    </w:p>
    <w:p>
      <w:r>
        <w:t>Bei diesem Ausgang gehen die Verfahrenskosten zulasten des Rekurrenten, der überdies die anwaltlich vertretene Gemeinde angemessen aussergerichtlich zu entschädigen hat. Demnach erkennt das Gericht: 1. Der Rekurs wird abgewiesen.</w:t>
      </w:r>
    </w:p>
    <w:p>
      <w:r>
        <w:t>2. Die Gerichtskosten, bestehend - aus einer Staatsgebühr von Fr. 4'000.-- - und den Kanzleiauslagen von Fr. 153.-- zusammen Fr. 4'153.-- gehen zulasten von … und sind innert 30 Tagen seit Zustellung dieses Entscheides an die Finanzverwaltung des Kantons Graubünden, Chur, zu bezahlen. 3. … entschädigt die Gemeinde … aussergerichtlich mit Fr. 2'000.-- (inkl. MWST). Die dagegen an das Bundesgericht erhobene staatsrechtliche Beschwerde wurde am 23. November 2006 abgewiesen (2P.190/2006/leb).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